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CE" w:rsidRDefault="00130508">
      <w:pPr>
        <w:pStyle w:val="Title"/>
      </w:pPr>
      <w:r>
        <w:t>CALIFORNIA STATE UNIVERSITY, EAST BAY</w:t>
      </w:r>
    </w:p>
    <w:p w:rsidR="00974CCE" w:rsidRDefault="00130508">
      <w:pPr>
        <w:jc w:val="center"/>
        <w:rPr>
          <w:b/>
        </w:rPr>
      </w:pPr>
      <w:r>
        <w:rPr>
          <w:b/>
        </w:rPr>
        <w:t>DEPARTMENT OF STATISTICS AND BIOSTATISTICS</w:t>
      </w:r>
    </w:p>
    <w:p w:rsidR="00974CCE" w:rsidRDefault="00974CCE">
      <w:pPr>
        <w:jc w:val="center"/>
        <w:rPr>
          <w:b/>
        </w:rPr>
      </w:pPr>
    </w:p>
    <w:p w:rsidR="00974CCE" w:rsidRDefault="00130508">
      <w:pPr>
        <w:jc w:val="center"/>
        <w:rPr>
          <w:b/>
        </w:rPr>
      </w:pPr>
      <w:r>
        <w:rPr>
          <w:b/>
        </w:rPr>
        <w:t>STATISTICS 4910 – Advanced Statistical Package Usage</w:t>
      </w:r>
    </w:p>
    <w:p w:rsidR="00974CCE" w:rsidRDefault="00130508">
      <w:pPr>
        <w:jc w:val="center"/>
        <w:rPr>
          <w:b/>
        </w:rPr>
      </w:pPr>
      <w:r>
        <w:rPr>
          <w:b/>
        </w:rPr>
        <w:t>STATISTICS 6250 - SAS Programming</w:t>
      </w:r>
    </w:p>
    <w:p w:rsidR="00974CCE" w:rsidRDefault="00974CCE">
      <w:pPr>
        <w:jc w:val="center"/>
        <w:rPr>
          <w:b/>
        </w:rPr>
      </w:pPr>
    </w:p>
    <w:p w:rsidR="00974CCE" w:rsidRDefault="00130508">
      <w:pPr>
        <w:jc w:val="center"/>
      </w:pPr>
      <w:r>
        <w:rPr>
          <w:b/>
        </w:rPr>
        <w:t>FALL 2017</w:t>
      </w:r>
    </w:p>
    <w:p w:rsidR="00974CCE" w:rsidRDefault="00974CCE">
      <w:pPr>
        <w:jc w:val="center"/>
        <w:rPr>
          <w:b/>
        </w:rPr>
      </w:pPr>
    </w:p>
    <w:p w:rsidR="00974CCE" w:rsidRDefault="00130508">
      <w:r>
        <w:rPr>
          <w:b/>
        </w:rPr>
        <w:t xml:space="preserve">Lecture: </w:t>
      </w:r>
      <w:r>
        <w:t>MW 8 – 9:50pm, Valley Bus &amp; Tech Ctr., Room 221</w:t>
      </w:r>
    </w:p>
    <w:p w:rsidR="00974CCE" w:rsidRDefault="00974CCE"/>
    <w:p w:rsidR="00974CCE" w:rsidRDefault="00130508">
      <w:r>
        <w:rPr>
          <w:b/>
        </w:rPr>
        <w:t>Instructor:</w:t>
      </w:r>
      <w:r>
        <w:t xml:space="preserve"> Prof. Eric A. Suess   </w:t>
      </w:r>
      <w:r>
        <w:rPr>
          <w:b/>
        </w:rPr>
        <w:t>Office:</w:t>
      </w:r>
      <w:r>
        <w:t xml:space="preserve"> </w:t>
      </w:r>
      <w:proofErr w:type="spellStart"/>
      <w:r>
        <w:t>ScN</w:t>
      </w:r>
      <w:proofErr w:type="spellEnd"/>
      <w:r>
        <w:t xml:space="preserve"> 319   </w:t>
      </w:r>
      <w:r>
        <w:rPr>
          <w:b/>
        </w:rPr>
        <w:t>Phone:</w:t>
      </w:r>
      <w:r>
        <w:t xml:space="preserve"> 885-3879   </w:t>
      </w:r>
      <w:r>
        <w:rPr>
          <w:b/>
        </w:rPr>
        <w:t>e-mail:</w:t>
      </w:r>
      <w:r>
        <w:t xml:space="preserve"> </w:t>
      </w:r>
      <w:hyperlink r:id="rId6">
        <w:r>
          <w:rPr>
            <w:rStyle w:val="InternetLink"/>
          </w:rPr>
          <w:t>eric.suess@csueastbay.edu</w:t>
        </w:r>
      </w:hyperlink>
    </w:p>
    <w:p w:rsidR="00974CCE" w:rsidRDefault="00974CCE"/>
    <w:p w:rsidR="00974CCE" w:rsidRDefault="00130508">
      <w:r>
        <w:rPr>
          <w:b/>
        </w:rPr>
        <w:t>Office Hours:</w:t>
      </w:r>
      <w:r>
        <w:t xml:space="preserve"> MW 7:00-8:00pm or by appointment</w:t>
      </w:r>
    </w:p>
    <w:p w:rsidR="00974CCE" w:rsidRDefault="00974CCE"/>
    <w:p w:rsidR="00974CCE" w:rsidRDefault="00130508">
      <w:pPr>
        <w:rPr>
          <w:b/>
          <w:bCs/>
        </w:rPr>
      </w:pPr>
      <w:r>
        <w:rPr>
          <w:b/>
          <w:bCs/>
        </w:rPr>
        <w:t xml:space="preserve">Class Web-page: </w:t>
      </w:r>
    </w:p>
    <w:p w:rsidR="00130508" w:rsidRDefault="00130508" w:rsidP="00130508">
      <w:pPr>
        <w:numPr>
          <w:ilvl w:val="0"/>
          <w:numId w:val="3"/>
        </w:numPr>
        <w:rPr>
          <w:rStyle w:val="InternetLink"/>
          <w:color w:val="00000A"/>
          <w:u w:val="none"/>
        </w:rPr>
      </w:pPr>
      <w:hyperlink r:id="rId7" w:history="1">
        <w:r w:rsidRPr="0020395E">
          <w:rPr>
            <w:rStyle w:val="Hyperlink"/>
          </w:rPr>
          <w:t>http://www.sci.csueastbay.edu/~esuess/classes/Statistics_6250/sta6250.html</w:t>
        </w:r>
      </w:hyperlink>
    </w:p>
    <w:p w:rsidR="00130508" w:rsidRDefault="00130508" w:rsidP="00130508">
      <w:pPr>
        <w:numPr>
          <w:ilvl w:val="0"/>
          <w:numId w:val="3"/>
        </w:numPr>
      </w:pPr>
      <w:r>
        <w:t>Google Eric A. Suess and my website should come up.  Click on Classes.</w:t>
      </w:r>
    </w:p>
    <w:p w:rsidR="00974CCE" w:rsidRDefault="00130508">
      <w:pPr>
        <w:numPr>
          <w:ilvl w:val="0"/>
          <w:numId w:val="3"/>
        </w:numPr>
      </w:pPr>
      <w:r>
        <w:t>B</w:t>
      </w:r>
      <w:r>
        <w:t xml:space="preserve">lackboard: </w:t>
      </w:r>
      <w:hyperlink r:id="rId8">
        <w:r>
          <w:rPr>
            <w:rStyle w:val="InternetLink"/>
          </w:rPr>
          <w:t>http://bb.csueastbay.edu/</w:t>
        </w:r>
      </w:hyperlink>
    </w:p>
    <w:p w:rsidR="00974CCE" w:rsidRDefault="00974CCE">
      <w:pPr>
        <w:ind w:left="720"/>
        <w:rPr>
          <w:b/>
          <w:bCs/>
        </w:rPr>
      </w:pPr>
    </w:p>
    <w:p w:rsidR="00974CCE" w:rsidRDefault="00130508">
      <w:r>
        <w:rPr>
          <w:b/>
        </w:rPr>
        <w:t>Required Texts:</w:t>
      </w:r>
      <w:r>
        <w:t xml:space="preserve"> </w:t>
      </w:r>
    </w:p>
    <w:p w:rsidR="00974CCE" w:rsidRDefault="00130508">
      <w:pPr>
        <w:numPr>
          <w:ilvl w:val="0"/>
          <w:numId w:val="1"/>
        </w:numPr>
      </w:pPr>
      <w:r>
        <w:t xml:space="preserve">Cody: </w:t>
      </w:r>
      <w:r>
        <w:rPr>
          <w:u w:val="single"/>
        </w:rPr>
        <w:t>Leaning SAS by Example, A Programmers Guide</w:t>
      </w:r>
      <w:r>
        <w:t>, SAS Press Series, 2007.</w:t>
      </w:r>
    </w:p>
    <w:p w:rsidR="00974CCE" w:rsidRDefault="00130508">
      <w:pPr>
        <w:numPr>
          <w:ilvl w:val="0"/>
          <w:numId w:val="1"/>
        </w:numPr>
      </w:pPr>
      <w:r>
        <w:t xml:space="preserve">Your </w:t>
      </w:r>
      <w:r>
        <w:rPr>
          <w:b/>
          <w:bCs/>
        </w:rPr>
        <w:t>STATISTICS 6304</w:t>
      </w:r>
      <w:r>
        <w:t xml:space="preserve"> text or an equivalent introductory Statistics book.</w:t>
      </w:r>
    </w:p>
    <w:p w:rsidR="00974CCE" w:rsidRDefault="00974CCE"/>
    <w:p w:rsidR="00974CCE" w:rsidRDefault="00130508">
      <w:r>
        <w:rPr>
          <w:b/>
        </w:rPr>
        <w:t xml:space="preserve"> Recomm</w:t>
      </w:r>
      <w:r>
        <w:rPr>
          <w:b/>
        </w:rPr>
        <w:t>ended Texts:</w:t>
      </w:r>
      <w:r>
        <w:t xml:space="preserve"> </w:t>
      </w:r>
    </w:p>
    <w:p w:rsidR="00974CCE" w:rsidRDefault="00130508">
      <w:pPr>
        <w:numPr>
          <w:ilvl w:val="0"/>
          <w:numId w:val="1"/>
        </w:numPr>
      </w:pPr>
      <w:r>
        <w:t xml:space="preserve">Cody and Smith: </w:t>
      </w:r>
      <w:r>
        <w:rPr>
          <w:u w:val="single"/>
        </w:rPr>
        <w:t>Applied Statistics and the SAS Programming Language, 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</w:t>
      </w:r>
      <w:r>
        <w:t>., Prentice Hall, 2005.</w:t>
      </w:r>
    </w:p>
    <w:p w:rsidR="00974CCE" w:rsidRDefault="00130508">
      <w:pPr>
        <w:numPr>
          <w:ilvl w:val="0"/>
          <w:numId w:val="1"/>
        </w:numPr>
      </w:pPr>
      <w:proofErr w:type="spellStart"/>
      <w:r>
        <w:t>Delwiche</w:t>
      </w:r>
      <w:proofErr w:type="spellEnd"/>
      <w:r>
        <w:t xml:space="preserve"> and Slaughter: </w:t>
      </w:r>
      <w:r>
        <w:rPr>
          <w:u w:val="single"/>
        </w:rPr>
        <w:t>The Little SAS Book</w:t>
      </w:r>
      <w:r>
        <w:t>, SAS Institute Inc., 1998.</w:t>
      </w:r>
    </w:p>
    <w:p w:rsidR="00974CCE" w:rsidRDefault="00130508">
      <w:pPr>
        <w:numPr>
          <w:ilvl w:val="0"/>
          <w:numId w:val="1"/>
        </w:numPr>
      </w:pPr>
      <w:r>
        <w:t xml:space="preserve">Burley: </w:t>
      </w:r>
      <w:r>
        <w:rPr>
          <w:u w:val="single"/>
        </w:rPr>
        <w:t>SAS Macro Programming Made Easy</w:t>
      </w:r>
      <w:r>
        <w:t>, SAS Institute Inc., 2001.</w:t>
      </w:r>
    </w:p>
    <w:p w:rsidR="00974CCE" w:rsidRDefault="00130508">
      <w:pPr>
        <w:numPr>
          <w:ilvl w:val="0"/>
          <w:numId w:val="1"/>
        </w:numPr>
      </w:pPr>
      <w:r>
        <w:t>Aster: Professional SAS Programming Shortcuts, Breakfast, 2002.</w:t>
      </w:r>
    </w:p>
    <w:p w:rsidR="00974CCE" w:rsidRDefault="00130508">
      <w:pPr>
        <w:numPr>
          <w:ilvl w:val="0"/>
          <w:numId w:val="1"/>
        </w:numPr>
      </w:pPr>
      <w:r>
        <w:t>SAS manuals: Base SAS, SAS/STAT, SAS/Graph, SAS/ETS.</w:t>
      </w:r>
    </w:p>
    <w:p w:rsidR="00974CCE" w:rsidRDefault="00974CCE"/>
    <w:p w:rsidR="00974CCE" w:rsidRDefault="00130508">
      <w:pPr>
        <w:rPr>
          <w:bCs/>
        </w:rPr>
      </w:pPr>
      <w:r>
        <w:rPr>
          <w:b/>
        </w:rPr>
        <w:t xml:space="preserve">Material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Covered: </w:t>
      </w:r>
      <w:r>
        <w:rPr>
          <w:bCs/>
        </w:rPr>
        <w:t xml:space="preserve">In this course the use of statistical software will be presented to work with data.  The course will focus on the </w:t>
      </w:r>
      <w:r>
        <w:rPr>
          <w:bCs/>
        </w:rPr>
        <w:t>use of SAS.</w:t>
      </w:r>
    </w:p>
    <w:p w:rsidR="00974CCE" w:rsidRDefault="00974CCE">
      <w:pPr>
        <w:rPr>
          <w:bCs/>
        </w:rPr>
      </w:pPr>
    </w:p>
    <w:p w:rsidR="00974CCE" w:rsidRDefault="00130508">
      <w:pPr>
        <w:rPr>
          <w:b/>
          <w:bCs/>
        </w:rPr>
      </w:pPr>
      <w:r>
        <w:rPr>
          <w:b/>
          <w:bCs/>
        </w:rPr>
        <w:t xml:space="preserve">Prerequisites: </w:t>
      </w:r>
    </w:p>
    <w:p w:rsidR="00974CCE" w:rsidRDefault="00130508">
      <w:pPr>
        <w:numPr>
          <w:ilvl w:val="0"/>
          <w:numId w:val="2"/>
        </w:numPr>
        <w:rPr>
          <w:b/>
          <w:bCs/>
        </w:rPr>
      </w:pPr>
      <w:r>
        <w:t>Knowledge of the Windows operating system and experience with MS Office software (Word and Excel).</w:t>
      </w:r>
    </w:p>
    <w:p w:rsidR="00974CCE" w:rsidRDefault="00130508">
      <w:pPr>
        <w:numPr>
          <w:ilvl w:val="0"/>
          <w:numId w:val="2"/>
        </w:numPr>
        <w:rPr>
          <w:b/>
          <w:bCs/>
        </w:rPr>
      </w:pPr>
      <w:r>
        <w:t>Time outside of class to complete the computer assignments.</w:t>
      </w:r>
    </w:p>
    <w:p w:rsidR="00974CCE" w:rsidRDefault="00130508">
      <w:pPr>
        <w:numPr>
          <w:ilvl w:val="0"/>
          <w:numId w:val="2"/>
        </w:numPr>
        <w:rPr>
          <w:b/>
          <w:bCs/>
        </w:rPr>
      </w:pPr>
      <w:r>
        <w:t>STAT 4910: Completion of Stat 3502 or permission of the instructor.</w:t>
      </w:r>
    </w:p>
    <w:p w:rsidR="00974CCE" w:rsidRDefault="00130508">
      <w:pPr>
        <w:numPr>
          <w:ilvl w:val="0"/>
          <w:numId w:val="2"/>
        </w:numPr>
        <w:rPr>
          <w:b/>
          <w:bCs/>
        </w:rPr>
      </w:pPr>
      <w:r>
        <w:t>STAT 6250: Completion of Stat 6304 in the MS Statistics or MS Biostatistics Program or permission of the instructor.</w:t>
      </w:r>
    </w:p>
    <w:p w:rsidR="00974CCE" w:rsidRDefault="00974CCE">
      <w:pPr>
        <w:rPr>
          <w:bCs/>
        </w:rPr>
      </w:pPr>
    </w:p>
    <w:p w:rsidR="00974CCE" w:rsidRDefault="00130508">
      <w:r>
        <w:rPr>
          <w:b/>
        </w:rPr>
        <w:t>Homework:</w:t>
      </w:r>
      <w:r>
        <w:t xml:space="preserve"> Weekly homework assignments will be given each Monday, it is expected to be completed by </w:t>
      </w:r>
      <w:r>
        <w:t>the following Monday, and will be collected</w:t>
      </w:r>
      <w:r>
        <w:t xml:space="preserve"> through Blackboard the following Wednesday</w:t>
      </w:r>
      <w:r>
        <w:t>.  It is requ</w:t>
      </w:r>
      <w:r>
        <w:t>ired that the solution to each assigned problem be prepared and edited in MS Word, LibreOffice, or in Google Docs.  Hand-written solutions will not be accepted.  One .</w:t>
      </w:r>
      <w:proofErr w:type="spellStart"/>
      <w:r>
        <w:t>docx</w:t>
      </w:r>
      <w:proofErr w:type="spellEnd"/>
      <w:r>
        <w:t xml:space="preserve"> or .pdf file will be submitted for each assignment.  The file name of your submitted homework will be Lastname_Firstname_hw1.docx</w:t>
      </w:r>
    </w:p>
    <w:p w:rsidR="00974CCE" w:rsidRDefault="00974CCE"/>
    <w:p w:rsidR="00974CCE" w:rsidRDefault="00130508">
      <w:r>
        <w:rPr>
          <w:b/>
        </w:rPr>
        <w:t xml:space="preserve">Grading: </w:t>
      </w:r>
      <w:r>
        <w:t xml:space="preserve">Homework 30%, Project I 10%, Quiz I 5%, Midterm 20%, Project II 10%, Quiz II 5%, </w:t>
      </w:r>
    </w:p>
    <w:p w:rsidR="00974CCE" w:rsidRDefault="00130508">
      <w:r>
        <w:t>Fin</w:t>
      </w:r>
      <w:r>
        <w:t>al 20%</w:t>
      </w:r>
    </w:p>
    <w:p w:rsidR="00974CCE" w:rsidRDefault="00974CCE"/>
    <w:p w:rsidR="00974CCE" w:rsidRDefault="00130508">
      <w:r>
        <w:rPr>
          <w:b/>
        </w:rPr>
        <w:t xml:space="preserve">Policy on Make-up Exams: </w:t>
      </w:r>
      <w:r>
        <w:t xml:space="preserve">You are expected to take the exams at the scheduled times.  In case of genuine emergency, </w:t>
      </w:r>
      <w:proofErr w:type="gramStart"/>
      <w:r>
        <w:t>illness</w:t>
      </w:r>
      <w:proofErr w:type="gramEnd"/>
      <w:r>
        <w:t xml:space="preserve"> or hardship, for which you can present written documentation I may agree to arrange for a make-up exam.  Make-up exams must a</w:t>
      </w:r>
      <w:r>
        <w:t xml:space="preserve">lways be arranged BEFORE the regular exam is given and always take place AFTER the regular exam.  </w:t>
      </w:r>
    </w:p>
    <w:p w:rsidR="00974CCE" w:rsidRDefault="00130508">
      <w:pPr>
        <w:rPr>
          <w:b/>
        </w:rPr>
      </w:pPr>
      <w:bookmarkStart w:id="0" w:name="_GoBack"/>
      <w:bookmarkEnd w:id="0"/>
      <w:r>
        <w:rPr>
          <w:b/>
        </w:rPr>
        <w:lastRenderedPageBreak/>
        <w:t>Stat 4910 SLOs</w:t>
      </w:r>
    </w:p>
    <w:p w:rsidR="00974CCE" w:rsidRDefault="00974CCE"/>
    <w:tbl>
      <w:tblPr>
        <w:tblW w:w="11520" w:type="dxa"/>
        <w:tblLook w:val="04A0" w:firstRow="1" w:lastRow="0" w:firstColumn="1" w:lastColumn="0" w:noHBand="0" w:noVBand="1"/>
      </w:tblPr>
      <w:tblGrid>
        <w:gridCol w:w="7680"/>
        <w:gridCol w:w="960"/>
        <w:gridCol w:w="959"/>
        <w:gridCol w:w="960"/>
        <w:gridCol w:w="961"/>
      </w:tblGrid>
      <w:tr w:rsidR="00974CCE">
        <w:trPr>
          <w:trHeight w:val="300"/>
        </w:trPr>
        <w:tc>
          <w:tcPr>
            <w:tcW w:w="7680" w:type="dxa"/>
            <w:shd w:val="clear" w:color="auto" w:fill="auto"/>
            <w:vAlign w:val="bottom"/>
          </w:tcPr>
          <w:p w:rsidR="00974CCE" w:rsidRDefault="001305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 Learning Outcomes (SLO's):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74CCE" w:rsidRDefault="00974C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74CCE" w:rsidRDefault="00974CCE"/>
        </w:tc>
        <w:tc>
          <w:tcPr>
            <w:tcW w:w="960" w:type="dxa"/>
            <w:shd w:val="clear" w:color="auto" w:fill="auto"/>
            <w:vAlign w:val="bottom"/>
          </w:tcPr>
          <w:p w:rsidR="00974CCE" w:rsidRDefault="00974CCE"/>
        </w:tc>
        <w:tc>
          <w:tcPr>
            <w:tcW w:w="961" w:type="dxa"/>
            <w:shd w:val="clear" w:color="auto" w:fill="auto"/>
            <w:vAlign w:val="bottom"/>
          </w:tcPr>
          <w:p w:rsidR="00974CCE" w:rsidRDefault="00974CCE"/>
        </w:tc>
      </w:tr>
      <w:tr w:rsidR="00974CCE">
        <w:trPr>
          <w:trHeight w:val="300"/>
        </w:trPr>
        <w:tc>
          <w:tcPr>
            <w:tcW w:w="8640" w:type="dxa"/>
            <w:gridSpan w:val="2"/>
            <w:shd w:val="clear" w:color="auto" w:fill="auto"/>
            <w:vAlign w:val="bottom"/>
          </w:tcPr>
          <w:p w:rsidR="00974CCE" w:rsidRDefault="00130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graduating with an B.S. in Statistics from Cal State East Bay will be able to: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74CCE" w:rsidRDefault="00974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74CCE" w:rsidRDefault="00974CCE"/>
        </w:tc>
        <w:tc>
          <w:tcPr>
            <w:tcW w:w="961" w:type="dxa"/>
            <w:shd w:val="clear" w:color="auto" w:fill="auto"/>
            <w:vAlign w:val="bottom"/>
          </w:tcPr>
          <w:p w:rsidR="00974CCE" w:rsidRDefault="00974CCE"/>
        </w:tc>
      </w:tr>
      <w:tr w:rsidR="00974CCE">
        <w:trPr>
          <w:trHeight w:val="915"/>
        </w:trPr>
        <w:tc>
          <w:tcPr>
            <w:tcW w:w="11520" w:type="dxa"/>
            <w:gridSpan w:val="5"/>
            <w:shd w:val="clear" w:color="auto" w:fill="auto"/>
            <w:vAlign w:val="center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Apply basic computational skill in descriptive statistics and graphical displays; hypothesis testing and 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confidence intervals; modeling and error analysis</w:t>
            </w:r>
          </w:p>
        </w:tc>
      </w:tr>
      <w:tr w:rsidR="00974CCE">
        <w:trPr>
          <w:trHeight w:val="705"/>
        </w:trPr>
        <w:tc>
          <w:tcPr>
            <w:tcW w:w="11520" w:type="dxa"/>
            <w:gridSpan w:val="5"/>
            <w:shd w:val="clear" w:color="auto" w:fill="auto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Communicate to others results involving descriptive statistics and graphical displays; hypoth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esis testing 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 confidence intervals; modeling and error analysis</w:t>
            </w:r>
          </w:p>
        </w:tc>
      </w:tr>
      <w:tr w:rsidR="00974CCE">
        <w:trPr>
          <w:trHeight w:val="645"/>
        </w:trPr>
        <w:tc>
          <w:tcPr>
            <w:tcW w:w="11520" w:type="dxa"/>
            <w:gridSpan w:val="5"/>
            <w:shd w:val="clear" w:color="auto" w:fill="auto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Analyze data using appropriate statistical computer software and to interpret the results covering 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descriptive statistics and graphical displays; hypothesis testing and confidence int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ervals; modeling and error 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analysis</w:t>
            </w:r>
          </w:p>
        </w:tc>
      </w:tr>
    </w:tbl>
    <w:p w:rsidR="00974CCE" w:rsidRDefault="00974CCE"/>
    <w:p w:rsidR="00974CCE" w:rsidRDefault="00130508">
      <w:pPr>
        <w:rPr>
          <w:b/>
        </w:rPr>
      </w:pPr>
      <w:r>
        <w:rPr>
          <w:b/>
        </w:rPr>
        <w:t>Stat 6250 SLOs</w:t>
      </w:r>
    </w:p>
    <w:p w:rsidR="00974CCE" w:rsidRDefault="00974CCE"/>
    <w:tbl>
      <w:tblPr>
        <w:tblW w:w="11600" w:type="dxa"/>
        <w:tblLook w:val="04A0" w:firstRow="1" w:lastRow="0" w:firstColumn="1" w:lastColumn="0" w:noHBand="0" w:noVBand="1"/>
      </w:tblPr>
      <w:tblGrid>
        <w:gridCol w:w="7692"/>
        <w:gridCol w:w="977"/>
        <w:gridCol w:w="977"/>
        <w:gridCol w:w="977"/>
        <w:gridCol w:w="977"/>
      </w:tblGrid>
      <w:tr w:rsidR="00974CCE">
        <w:trPr>
          <w:trHeight w:val="300"/>
        </w:trPr>
        <w:tc>
          <w:tcPr>
            <w:tcW w:w="7694" w:type="dxa"/>
            <w:shd w:val="clear" w:color="auto" w:fill="auto"/>
            <w:vAlign w:val="bottom"/>
          </w:tcPr>
          <w:p w:rsidR="00974CCE" w:rsidRDefault="001305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 Learning Outcomes (SLO's):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974CCE" w:rsidRDefault="00974C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974CCE" w:rsidRDefault="00974CCE"/>
        </w:tc>
        <w:tc>
          <w:tcPr>
            <w:tcW w:w="977" w:type="dxa"/>
            <w:shd w:val="clear" w:color="auto" w:fill="auto"/>
            <w:vAlign w:val="bottom"/>
          </w:tcPr>
          <w:p w:rsidR="00974CCE" w:rsidRDefault="00974CCE"/>
        </w:tc>
        <w:tc>
          <w:tcPr>
            <w:tcW w:w="976" w:type="dxa"/>
            <w:shd w:val="clear" w:color="auto" w:fill="auto"/>
            <w:vAlign w:val="bottom"/>
          </w:tcPr>
          <w:p w:rsidR="00974CCE" w:rsidRDefault="00974CCE"/>
        </w:tc>
      </w:tr>
      <w:tr w:rsidR="00974CCE">
        <w:trPr>
          <w:trHeight w:val="300"/>
        </w:trPr>
        <w:tc>
          <w:tcPr>
            <w:tcW w:w="8669" w:type="dxa"/>
            <w:gridSpan w:val="2"/>
            <w:shd w:val="clear" w:color="auto" w:fill="auto"/>
            <w:vAlign w:val="bottom"/>
          </w:tcPr>
          <w:p w:rsidR="00974CCE" w:rsidRDefault="00130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graduating with an M.S. in Statistics from Cal State East Bay will be able to: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974CCE" w:rsidRDefault="00974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74CCE" w:rsidRDefault="00974CCE"/>
        </w:tc>
        <w:tc>
          <w:tcPr>
            <w:tcW w:w="977" w:type="dxa"/>
            <w:shd w:val="clear" w:color="auto" w:fill="auto"/>
            <w:vAlign w:val="bottom"/>
          </w:tcPr>
          <w:p w:rsidR="00974CCE" w:rsidRDefault="00974CCE"/>
        </w:tc>
      </w:tr>
      <w:tr w:rsidR="00974CCE">
        <w:trPr>
          <w:trHeight w:val="915"/>
        </w:trPr>
        <w:tc>
          <w:tcPr>
            <w:tcW w:w="11600" w:type="dxa"/>
            <w:gridSpan w:val="5"/>
            <w:shd w:val="clear" w:color="auto" w:fill="auto"/>
            <w:vAlign w:val="center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Apply statistical methodologies, including a) descriptive statistics and graphical displays, b) probability 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models for uncertainty, stochastic processes, and distribution theory, c) hypothesis testing and confidence 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intervals, d) ANOVA and regression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models (including linear, and multiple linear) and analysis of residuals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models and trends.</w:t>
            </w:r>
          </w:p>
        </w:tc>
      </w:tr>
      <w:tr w:rsidR="00974CCE">
        <w:trPr>
          <w:trHeight w:val="300"/>
        </w:trPr>
        <w:tc>
          <w:tcPr>
            <w:tcW w:w="11600" w:type="dxa"/>
            <w:gridSpan w:val="5"/>
            <w:shd w:val="clear" w:color="auto" w:fill="auto"/>
            <w:vAlign w:val="center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Derive and understand basic theory underlying these methodologies</w:t>
            </w:r>
          </w:p>
        </w:tc>
      </w:tr>
      <w:tr w:rsidR="00974CCE">
        <w:trPr>
          <w:trHeight w:val="300"/>
        </w:trPr>
        <w:tc>
          <w:tcPr>
            <w:tcW w:w="11600" w:type="dxa"/>
            <w:gridSpan w:val="5"/>
            <w:shd w:val="clear" w:color="auto" w:fill="auto"/>
            <w:vAlign w:val="center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Formulate and model practical problems for solutions using these methodologies</w:t>
            </w:r>
          </w:p>
        </w:tc>
      </w:tr>
      <w:tr w:rsidR="00974CCE">
        <w:trPr>
          <w:trHeight w:val="300"/>
        </w:trPr>
        <w:tc>
          <w:tcPr>
            <w:tcW w:w="11600" w:type="dxa"/>
            <w:gridSpan w:val="5"/>
            <w:shd w:val="clear" w:color="auto" w:fill="auto"/>
            <w:vAlign w:val="center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Produce relevant computer output using standard statistical software and interpret the results appropriately</w:t>
            </w:r>
          </w:p>
        </w:tc>
      </w:tr>
      <w:tr w:rsidR="00974CCE">
        <w:trPr>
          <w:trHeight w:val="300"/>
        </w:trPr>
        <w:tc>
          <w:tcPr>
            <w:tcW w:w="11600" w:type="dxa"/>
            <w:gridSpan w:val="5"/>
            <w:shd w:val="clear" w:color="auto" w:fill="auto"/>
            <w:vAlign w:val="center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Communicate statistical concepts and analytical results clearly and appropriately to others; and</w:t>
            </w:r>
          </w:p>
        </w:tc>
      </w:tr>
      <w:tr w:rsidR="00974CCE">
        <w:trPr>
          <w:trHeight w:val="300"/>
        </w:trPr>
        <w:tc>
          <w:tcPr>
            <w:tcW w:w="11600" w:type="dxa"/>
            <w:gridSpan w:val="5"/>
            <w:shd w:val="clear" w:color="auto" w:fill="auto"/>
            <w:vAlign w:val="center"/>
          </w:tcPr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 Understand theory, concepts, and terminolo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gy at a level that supports lifelong learning of related </w:t>
            </w:r>
          </w:p>
          <w:p w:rsidR="00974CCE" w:rsidRDefault="00130508">
            <w:pPr>
              <w:ind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methodologies.</w:t>
            </w:r>
          </w:p>
        </w:tc>
      </w:tr>
    </w:tbl>
    <w:p w:rsidR="00974CCE" w:rsidRDefault="00974CCE"/>
    <w:p w:rsidR="00974CCE" w:rsidRDefault="00974CCE"/>
    <w:p w:rsidR="00974CCE" w:rsidRDefault="00974CCE"/>
    <w:p w:rsidR="00974CCE" w:rsidRDefault="00974CCE"/>
    <w:p w:rsidR="00974CCE" w:rsidRDefault="00974CCE"/>
    <w:p w:rsidR="00974CCE" w:rsidRDefault="00974CCE"/>
    <w:p w:rsidR="00974CCE" w:rsidRDefault="00974CCE"/>
    <w:p w:rsidR="00974CCE" w:rsidRDefault="00974CCE"/>
    <w:sectPr w:rsidR="00974CCE">
      <w:pgSz w:w="12240" w:h="15840"/>
      <w:pgMar w:top="1440" w:right="1800" w:bottom="1440" w:left="180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D81"/>
    <w:multiLevelType w:val="multilevel"/>
    <w:tmpl w:val="3F3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B6506C"/>
    <w:multiLevelType w:val="multilevel"/>
    <w:tmpl w:val="F4BE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BE2F95"/>
    <w:multiLevelType w:val="multilevel"/>
    <w:tmpl w:val="213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A3B53"/>
    <w:multiLevelType w:val="multilevel"/>
    <w:tmpl w:val="3574E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CE"/>
    <w:rsid w:val="00130508"/>
    <w:rsid w:val="009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7E8E"/>
  <w15:docId w15:val="{E7401413-3AF9-4516-9873-AB88634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sid w:val="00130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.csueastbay.ed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.csueastbay.edu/~esuess/classes/Statistics_6250/sta62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.suess@csueastbay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70D0-92F4-4E54-A824-424706C5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HAYWARD</vt:lpstr>
    </vt:vector>
  </TitlesOfParts>
  <Company>home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HAYWARD</dc:title>
  <dc:subject/>
  <dc:creator>Eric A. Suess</dc:creator>
  <dc:description/>
  <cp:lastModifiedBy>Eric Suess</cp:lastModifiedBy>
  <cp:revision>8</cp:revision>
  <cp:lastPrinted>2002-01-10T22:40:00Z</cp:lastPrinted>
  <dcterms:created xsi:type="dcterms:W3CDTF">2015-09-24T22:39:00Z</dcterms:created>
  <dcterms:modified xsi:type="dcterms:W3CDTF">2017-09-13T21:33:00Z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